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F149" w14:textId="77777777" w:rsidR="004F6ED9" w:rsidRPr="004F6ED9" w:rsidRDefault="004F6ED9" w:rsidP="004F6ED9">
      <w:pPr>
        <w:ind w:firstLine="6804"/>
        <w:jc w:val="right"/>
        <w:rPr>
          <w:u w:val="single"/>
          <w:lang w:val="kk-KZ"/>
        </w:rPr>
      </w:pPr>
      <w:r w:rsidRPr="004F6ED9">
        <w:rPr>
          <w:u w:val="single"/>
          <w:lang w:val="kk-KZ"/>
        </w:rPr>
        <w:t>Конкурс құжаттамасына</w:t>
      </w:r>
    </w:p>
    <w:p w14:paraId="29CD4806" w14:textId="7025823E" w:rsidR="00190F23" w:rsidRPr="004F6ED9" w:rsidRDefault="00807235" w:rsidP="004F6ED9">
      <w:pPr>
        <w:ind w:firstLine="6804"/>
        <w:jc w:val="right"/>
        <w:rPr>
          <w:color w:val="0000FF"/>
          <w:u w:val="single"/>
          <w:lang w:val="kk-KZ"/>
        </w:rPr>
      </w:pPr>
      <w:r>
        <w:rPr>
          <w:lang w:val="kk-KZ"/>
        </w:rPr>
        <w:t>14</w:t>
      </w:r>
      <w:r w:rsidR="004F6ED9">
        <w:rPr>
          <w:lang w:val="kk-KZ"/>
        </w:rPr>
        <w:t xml:space="preserve"> қосымша</w:t>
      </w:r>
    </w:p>
    <w:p w14:paraId="4350DBBB" w14:textId="77777777" w:rsidR="00190F23" w:rsidRPr="00221485" w:rsidRDefault="00190F23" w:rsidP="00190F23">
      <w:pPr>
        <w:pStyle w:val="pc"/>
      </w:pPr>
      <w:r w:rsidRPr="00221485">
        <w:t> </w:t>
      </w:r>
    </w:p>
    <w:p w14:paraId="24B42609" w14:textId="6E601320" w:rsidR="006B5F64" w:rsidRDefault="00190F23" w:rsidP="00F35810">
      <w:pPr>
        <w:pStyle w:val="pc"/>
        <w:rPr>
          <w:b/>
          <w:color w:val="auto"/>
        </w:rPr>
      </w:pPr>
      <w:r w:rsidRPr="00221485">
        <w:rPr>
          <w:b/>
        </w:rPr>
        <w:t> </w:t>
      </w:r>
    </w:p>
    <w:p w14:paraId="0F88AF40" w14:textId="77777777" w:rsidR="006B5F64" w:rsidRPr="006B5F64" w:rsidRDefault="006B5F64" w:rsidP="006B5F64">
      <w:pPr>
        <w:jc w:val="right"/>
        <w:rPr>
          <w:b/>
          <w:color w:val="000000"/>
        </w:rPr>
      </w:pPr>
      <w:proofErr w:type="spellStart"/>
      <w:r w:rsidRPr="00512178">
        <w:rPr>
          <w:b/>
        </w:rPr>
        <w:t>Бекітемін</w:t>
      </w:r>
      <w:proofErr w:type="spellEnd"/>
      <w:r w:rsidRPr="00512178">
        <w:rPr>
          <w:b/>
        </w:rPr>
        <w:br/>
        <w:t>«</w:t>
      </w:r>
      <w:proofErr w:type="spellStart"/>
      <w:r w:rsidRPr="00512178">
        <w:rPr>
          <w:b/>
        </w:rPr>
        <w:t>Қазтелерадио</w:t>
      </w:r>
      <w:proofErr w:type="spellEnd"/>
      <w:r w:rsidRPr="00512178">
        <w:rPr>
          <w:b/>
        </w:rPr>
        <w:t xml:space="preserve">» АҚ </w:t>
      </w:r>
      <w:proofErr w:type="spellStart"/>
      <w:r w:rsidRPr="00512178">
        <w:rPr>
          <w:b/>
        </w:rPr>
        <w:t>Басқарма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төрағасының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орынбасары</w:t>
      </w:r>
      <w:proofErr w:type="spellEnd"/>
      <w:r w:rsidRPr="00512178">
        <w:rPr>
          <w:b/>
        </w:rPr>
        <w:br/>
      </w:r>
      <w:proofErr w:type="spellStart"/>
      <w:r w:rsidRPr="00512178">
        <w:rPr>
          <w:b/>
        </w:rPr>
        <w:t>Техникалық</w:t>
      </w:r>
      <w:proofErr w:type="spellEnd"/>
      <w:r w:rsidRPr="00512178">
        <w:rPr>
          <w:b/>
        </w:rPr>
        <w:t xml:space="preserve"> директор</w:t>
      </w:r>
      <w:r w:rsidRPr="00512178">
        <w:rPr>
          <w:b/>
        </w:rPr>
        <w:br/>
      </w:r>
      <w:r w:rsidRPr="006B5F64">
        <w:rPr>
          <w:b/>
        </w:rPr>
        <w:t xml:space="preserve"> </w:t>
      </w:r>
      <w:r w:rsidRPr="006B5F64">
        <w:rPr>
          <w:rFonts w:eastAsia="Times New Roman"/>
          <w:b/>
          <w:lang/>
        </w:rPr>
        <w:t>___________________</w:t>
      </w:r>
      <w:proofErr w:type="spellStart"/>
      <w:r w:rsidRPr="00512178">
        <w:rPr>
          <w:b/>
        </w:rPr>
        <w:t>Оспанов</w:t>
      </w:r>
      <w:proofErr w:type="spellEnd"/>
      <w:r w:rsidRPr="00512178">
        <w:rPr>
          <w:b/>
        </w:rPr>
        <w:t xml:space="preserve"> Е.М.</w:t>
      </w:r>
    </w:p>
    <w:p w14:paraId="2E23DDE5" w14:textId="09B7E1DA" w:rsidR="006B5F64" w:rsidRDefault="006B5F64" w:rsidP="006B5F64">
      <w:pPr>
        <w:pStyle w:val="pc"/>
        <w:jc w:val="right"/>
        <w:rPr>
          <w:b/>
          <w:color w:val="auto"/>
        </w:rPr>
      </w:pPr>
      <w:r w:rsidRPr="0039775E">
        <w:rPr>
          <w:rFonts w:eastAsia="Times New Roman"/>
          <w:b/>
          <w:lang/>
        </w:rPr>
        <w:t xml:space="preserve">« </w:t>
      </w:r>
      <w:r w:rsidRPr="00512178">
        <w:rPr>
          <w:rFonts w:eastAsia="Times New Roman"/>
          <w:b/>
          <w:lang w:val="en-US"/>
        </w:rPr>
        <w:t>_____</w:t>
      </w:r>
      <w:r w:rsidRPr="0039775E">
        <w:rPr>
          <w:rFonts w:eastAsia="Times New Roman"/>
          <w:b/>
          <w:lang/>
        </w:rPr>
        <w:t xml:space="preserve"> »</w:t>
      </w:r>
      <w:r w:rsidRPr="00512178">
        <w:rPr>
          <w:rFonts w:eastAsia="Times New Roman"/>
          <w:b/>
          <w:lang w:val="en-US"/>
        </w:rPr>
        <w:t xml:space="preserve"> _________________</w:t>
      </w:r>
      <w:r w:rsidRPr="00512178">
        <w:rPr>
          <w:b/>
          <w:lang/>
        </w:rPr>
        <w:t xml:space="preserve"> 2026 </w:t>
      </w:r>
      <w:r w:rsidRPr="00512178">
        <w:rPr>
          <w:b/>
          <w:lang/>
        </w:rPr>
        <w:t>ж</w:t>
      </w:r>
      <w:r w:rsidRPr="0039775E">
        <w:rPr>
          <w:rFonts w:eastAsia="Times New Roman"/>
          <w:b/>
          <w:lang/>
        </w:rPr>
        <w:t>.</w:t>
      </w:r>
    </w:p>
    <w:p w14:paraId="31045DA1" w14:textId="77777777" w:rsidR="006B5F64" w:rsidRDefault="006B5F64" w:rsidP="00F35810">
      <w:pPr>
        <w:pStyle w:val="pc"/>
        <w:rPr>
          <w:b/>
          <w:color w:val="auto"/>
        </w:rPr>
      </w:pPr>
    </w:p>
    <w:p w14:paraId="4C4C81F2" w14:textId="77777777" w:rsidR="006B5F64" w:rsidRDefault="006B5F64" w:rsidP="00F35810">
      <w:pPr>
        <w:pStyle w:val="pc"/>
        <w:rPr>
          <w:b/>
          <w:color w:val="auto"/>
        </w:rPr>
      </w:pPr>
    </w:p>
    <w:p w14:paraId="3B827FA1" w14:textId="77777777" w:rsidR="00F35810" w:rsidRPr="004F6ED9" w:rsidRDefault="00F35810" w:rsidP="00F35810">
      <w:pPr>
        <w:pStyle w:val="pc"/>
        <w:rPr>
          <w:b/>
          <w:color w:val="auto"/>
        </w:rPr>
      </w:pPr>
      <w:proofErr w:type="spellStart"/>
      <w:r w:rsidRPr="004F6ED9">
        <w:rPr>
          <w:b/>
          <w:color w:val="auto"/>
        </w:rPr>
        <w:t>Техникалық</w:t>
      </w:r>
      <w:proofErr w:type="spellEnd"/>
      <w:r w:rsidRPr="004F6ED9">
        <w:rPr>
          <w:b/>
          <w:color w:val="auto"/>
        </w:rPr>
        <w:t xml:space="preserve"> </w:t>
      </w:r>
      <w:proofErr w:type="spellStart"/>
      <w:r w:rsidRPr="004F6ED9">
        <w:rPr>
          <w:b/>
          <w:color w:val="auto"/>
        </w:rPr>
        <w:t>сипаттама</w:t>
      </w:r>
      <w:proofErr w:type="spellEnd"/>
      <w:r w:rsidRPr="004F6ED9">
        <w:rPr>
          <w:b/>
          <w:color w:val="auto"/>
        </w:rPr>
        <w:t xml:space="preserve"> </w:t>
      </w:r>
    </w:p>
    <w:p w14:paraId="1867140A" w14:textId="77777777" w:rsidR="00F35810" w:rsidRPr="00807235" w:rsidRDefault="00F35810" w:rsidP="00F35810">
      <w:pPr>
        <w:pStyle w:val="pc"/>
        <w:rPr>
          <w:b/>
          <w:color w:val="auto"/>
        </w:rPr>
      </w:pPr>
      <w:proofErr w:type="spellStart"/>
      <w:r w:rsidRPr="00807235">
        <w:rPr>
          <w:b/>
          <w:color w:val="auto"/>
        </w:rPr>
        <w:t>сатып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алынатын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құрылыс-монтаждау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жұмыстары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және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жобалау</w:t>
      </w:r>
      <w:proofErr w:type="spellEnd"/>
      <w:r w:rsidRPr="00807235">
        <w:rPr>
          <w:b/>
          <w:color w:val="auto"/>
        </w:rPr>
        <w:t xml:space="preserve"> (</w:t>
      </w:r>
      <w:proofErr w:type="spellStart"/>
      <w:r w:rsidRPr="00807235">
        <w:rPr>
          <w:b/>
          <w:color w:val="auto"/>
        </w:rPr>
        <w:t>жобалау-сметалық</w:t>
      </w:r>
      <w:proofErr w:type="spellEnd"/>
      <w:r w:rsidRPr="00807235">
        <w:rPr>
          <w:b/>
          <w:color w:val="auto"/>
        </w:rPr>
        <w:t xml:space="preserve">) </w:t>
      </w:r>
      <w:proofErr w:type="spellStart"/>
      <w:r w:rsidRPr="00807235">
        <w:rPr>
          <w:b/>
          <w:color w:val="auto"/>
        </w:rPr>
        <w:t>құжаттамасын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әзірлеу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жөніндегі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</w:t>
      </w:r>
      <w:proofErr w:type="spellEnd"/>
      <w:r w:rsidRPr="00807235">
        <w:rPr>
          <w:b/>
          <w:color w:val="auto"/>
        </w:rPr>
        <w:t xml:space="preserve"> </w:t>
      </w:r>
    </w:p>
    <w:p w14:paraId="53BA8D69" w14:textId="38C8D166" w:rsidR="00F35810" w:rsidRPr="00807235" w:rsidRDefault="004F6ED9" w:rsidP="00F35810">
      <w:pPr>
        <w:pStyle w:val="pc"/>
        <w:rPr>
          <w:color w:val="auto"/>
        </w:rPr>
      </w:pPr>
      <w:r w:rsidRPr="00807235">
        <w:rPr>
          <w:color w:val="auto"/>
        </w:rPr>
        <w:t>(</w:t>
      </w:r>
      <w:r>
        <w:rPr>
          <w:color w:val="auto"/>
          <w:lang w:val="kk-KZ"/>
        </w:rPr>
        <w:t>т</w:t>
      </w:r>
      <w:proofErr w:type="spellStart"/>
      <w:r w:rsidR="00F35810" w:rsidRPr="00807235">
        <w:rPr>
          <w:color w:val="auto"/>
        </w:rPr>
        <w:t>апсырыс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беруші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толтырады</w:t>
      </w:r>
      <w:proofErr w:type="spellEnd"/>
      <w:r w:rsidR="00F35810" w:rsidRPr="00807235">
        <w:rPr>
          <w:color w:val="auto"/>
        </w:rPr>
        <w:t>)</w:t>
      </w:r>
    </w:p>
    <w:p w14:paraId="5ED1C543" w14:textId="77777777" w:rsidR="00190F23" w:rsidRPr="00807235" w:rsidRDefault="00190F23" w:rsidP="00190F23">
      <w:pPr>
        <w:pStyle w:val="pji"/>
        <w:rPr>
          <w:color w:val="auto"/>
        </w:rPr>
      </w:pPr>
      <w:r w:rsidRPr="004F6ED9">
        <w:rPr>
          <w:color w:val="auto"/>
          <w:lang w:val="en-US"/>
        </w:rPr>
        <w:t> </w:t>
      </w:r>
    </w:p>
    <w:p w14:paraId="452EAEF4" w14:textId="77777777" w:rsidR="004F6ED9" w:rsidRPr="00CB5984" w:rsidRDefault="004F6ED9" w:rsidP="004F6ED9">
      <w:pPr>
        <w:ind w:firstLine="397"/>
        <w:jc w:val="both"/>
        <w:rPr>
          <w:lang w:val="kk-KZ"/>
        </w:rPr>
      </w:pPr>
      <w:r w:rsidRPr="00CB5984">
        <w:rPr>
          <w:lang w:val="kk-KZ"/>
        </w:rPr>
        <w:t>Тапсырыс берушінің атауы «Қазтелерадио» АҚ</w:t>
      </w:r>
    </w:p>
    <w:p w14:paraId="2AFA9B77" w14:textId="4EBA505C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 xml:space="preserve">Ұйымдастырушының атауы </w:t>
      </w:r>
      <w:r w:rsidR="00DB7DA2">
        <w:rPr>
          <w:lang w:val="kk-KZ"/>
        </w:rPr>
        <w:t>_______________________</w:t>
      </w:r>
      <w:r>
        <w:rPr>
          <w:lang w:val="kk-KZ"/>
        </w:rPr>
        <w:t xml:space="preserve">  </w:t>
      </w:r>
    </w:p>
    <w:p w14:paraId="6B2AE005" w14:textId="77777777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Конкурстың № __________________________________</w:t>
      </w:r>
    </w:p>
    <w:p w14:paraId="66E11E12" w14:textId="77777777" w:rsidR="004F6ED9" w:rsidRPr="00210F6E" w:rsidRDefault="004F6ED9" w:rsidP="004F6ED9">
      <w:pPr>
        <w:ind w:left="397"/>
        <w:jc w:val="both"/>
        <w:rPr>
          <w:rStyle w:val="s0"/>
          <w:b/>
          <w:lang w:val="kk-KZ"/>
        </w:rPr>
      </w:pPr>
      <w:r>
        <w:rPr>
          <w:lang w:val="kk-KZ"/>
        </w:rPr>
        <w:t xml:space="preserve">Конкурстың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654B74EC" w14:textId="77777777" w:rsidR="004F6ED9" w:rsidRP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Лоттың № ______________________________________</w:t>
      </w:r>
    </w:p>
    <w:p w14:paraId="1AD18084" w14:textId="4AB9B4B8" w:rsidR="004F6ED9" w:rsidRPr="004203D4" w:rsidRDefault="004F6ED9" w:rsidP="004F6ED9">
      <w:pPr>
        <w:ind w:left="397"/>
        <w:jc w:val="both"/>
        <w:rPr>
          <w:lang w:val="kk-KZ"/>
        </w:rPr>
      </w:pPr>
      <w:r>
        <w:rPr>
          <w:lang w:val="kk-KZ"/>
        </w:rPr>
        <w:t xml:space="preserve">Лоттың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006D530C" w14:textId="77777777" w:rsidR="00190F23" w:rsidRPr="00807235" w:rsidRDefault="00190F23" w:rsidP="00190F23">
      <w:pPr>
        <w:pStyle w:val="p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494"/>
      </w:tblGrid>
      <w:tr w:rsidR="00221485" w:rsidRPr="00221485" w14:paraId="05B3AE12" w14:textId="77777777" w:rsidTr="00350176"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29716568" w:rsidR="00190F23" w:rsidRPr="00DB7DA2" w:rsidRDefault="004F6ED9" w:rsidP="004A0B7F">
            <w:pPr>
              <w:pStyle w:val="pji"/>
              <w:jc w:val="left"/>
              <w:rPr>
                <w:color w:val="auto"/>
                <w:lang w:val="kk-KZ"/>
              </w:rPr>
            </w:pPr>
            <w:r w:rsidRPr="00DB7DA2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478B" w14:textId="77777777" w:rsidR="00B81462" w:rsidRDefault="00B81462" w:rsidP="008A3B2E">
            <w:pPr>
              <w:pStyle w:val="pji"/>
              <w:rPr>
                <w:color w:val="auto"/>
                <w:sz w:val="22"/>
                <w:szCs w:val="22"/>
                <w:lang w:val="kk-KZ"/>
              </w:rPr>
            </w:pPr>
          </w:p>
          <w:p w14:paraId="1FD33C0E" w14:textId="3D060FC6" w:rsidR="00190F23" w:rsidRPr="00221485" w:rsidRDefault="004A0B7F" w:rsidP="008A3B2E">
            <w:pPr>
              <w:pStyle w:val="pji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50F1B83D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4F6ED9">
              <w:rPr>
                <w:color w:val="auto"/>
              </w:rPr>
              <w:t>Ж</w:t>
            </w:r>
            <w:proofErr w:type="gramEnd"/>
            <w:r w:rsidRPr="004F6ED9">
              <w:rPr>
                <w:color w:val="auto"/>
              </w:rPr>
              <w:t>ұмыс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атауы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A09B" w14:textId="5EC48008" w:rsidR="00190F23" w:rsidRPr="004A0B7F" w:rsidRDefault="004F6ED9" w:rsidP="004A0B7F">
            <w:pPr>
              <w:rPr>
                <w:rFonts w:eastAsia="Times New Roman"/>
              </w:rPr>
            </w:pPr>
            <w:proofErr w:type="spellStart"/>
            <w:r w:rsidRPr="004F6ED9">
              <w:rPr>
                <w:rFonts w:eastAsia="Times New Roman"/>
              </w:rPr>
              <w:t>Автоматты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газды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өрт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сөндіру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жүйесін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монтаждау</w:t>
            </w:r>
            <w:proofErr w:type="spellEnd"/>
            <w:r w:rsidRPr="004F6ED9">
              <w:rPr>
                <w:rFonts w:eastAsia="Times New Roman"/>
              </w:rPr>
              <w:t xml:space="preserve"> "</w:t>
            </w:r>
            <w:proofErr w:type="spellStart"/>
            <w:r w:rsidRPr="004F6ED9">
              <w:rPr>
                <w:rFonts w:eastAsia="Times New Roman"/>
              </w:rPr>
              <w:t>Көк-Төбе</w:t>
            </w:r>
            <w:proofErr w:type="spellEnd"/>
            <w:r w:rsidRPr="004F6ED9">
              <w:rPr>
                <w:rFonts w:eastAsia="Times New Roman"/>
              </w:rPr>
              <w:t xml:space="preserve"> РТС ЦТВ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</w:t>
            </w:r>
            <w:proofErr w:type="spellStart"/>
            <w:r w:rsidRPr="004F6ED9">
              <w:rPr>
                <w:rFonts w:eastAsia="Times New Roman"/>
              </w:rPr>
              <w:t>шағын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ҮҚК </w:t>
            </w:r>
            <w:proofErr w:type="spellStart"/>
            <w:r w:rsidRPr="004F6ED9">
              <w:rPr>
                <w:rFonts w:eastAsia="Times New Roman"/>
              </w:rPr>
              <w:t>үй-жайының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және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гермозонаның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техникалық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үй-жайларында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жобалау-сметалық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құжаттаманы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әзірлеу</w:t>
            </w:r>
            <w:proofErr w:type="gramStart"/>
            <w:r w:rsidRPr="004F6ED9">
              <w:rPr>
                <w:rFonts w:eastAsia="Times New Roman"/>
              </w:rPr>
              <w:t>"ж</w:t>
            </w:r>
            <w:proofErr w:type="gramEnd"/>
            <w:r w:rsidRPr="004F6ED9">
              <w:rPr>
                <w:rFonts w:eastAsia="Times New Roman"/>
              </w:rPr>
              <w:t>обасына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сәйкес</w:t>
            </w:r>
            <w:proofErr w:type="spellEnd"/>
          </w:p>
        </w:tc>
      </w:tr>
      <w:tr w:rsidR="00221485" w:rsidRPr="00221485" w14:paraId="18DFD215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31DEABA2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Өлшем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бірлігі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1A61" w14:textId="51E75FD1" w:rsidR="00190F23" w:rsidRPr="006B5F64" w:rsidRDefault="004F6ED9" w:rsidP="00BB2893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6B5F64">
              <w:rPr>
                <w:color w:val="auto"/>
              </w:rPr>
              <w:t>Ж</w:t>
            </w:r>
            <w:proofErr w:type="gramEnd"/>
            <w:r w:rsidRPr="006B5F64">
              <w:rPr>
                <w:color w:val="auto"/>
              </w:rPr>
              <w:t>ұмыс</w:t>
            </w:r>
            <w:proofErr w:type="spellEnd"/>
          </w:p>
        </w:tc>
      </w:tr>
      <w:tr w:rsidR="00221485" w:rsidRPr="00221485" w14:paraId="3C937CE1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2B370B37" w:rsidR="00190F23" w:rsidRPr="00221485" w:rsidRDefault="004F6ED9" w:rsidP="008A3B2E">
            <w:pPr>
              <w:pStyle w:val="pji"/>
              <w:rPr>
                <w:color w:val="auto"/>
              </w:rPr>
            </w:pPr>
            <w:r w:rsidRPr="004F6ED9">
              <w:rPr>
                <w:color w:val="auto"/>
              </w:rPr>
              <w:t>Саны (</w:t>
            </w:r>
            <w:proofErr w:type="spellStart"/>
            <w:r w:rsidRPr="004F6ED9">
              <w:rPr>
                <w:color w:val="auto"/>
              </w:rPr>
              <w:t>көлемі</w:t>
            </w:r>
            <w:proofErr w:type="spellEnd"/>
            <w:r w:rsidRPr="004F6ED9">
              <w:rPr>
                <w:color w:val="auto"/>
              </w:rPr>
              <w:t>)*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11F3" w14:textId="77777777" w:rsidR="00190F23" w:rsidRPr="00221485" w:rsidRDefault="00BB289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5740291E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есептемегенде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бағасы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82EC" w14:textId="77777777" w:rsidR="00B81462" w:rsidRDefault="00B81462" w:rsidP="004A0B7F">
            <w:pPr>
              <w:jc w:val="both"/>
              <w:rPr>
                <w:lang w:val="kk-KZ"/>
              </w:rPr>
            </w:pPr>
          </w:p>
          <w:p w14:paraId="30358830" w14:textId="77777777" w:rsidR="004A0B7F" w:rsidRPr="00221485" w:rsidRDefault="004A0B7F" w:rsidP="004A0B7F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  <w:p w14:paraId="5EF51105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4ABDDE28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1D930F2A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есепке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алмағанда</w:t>
            </w:r>
            <w:proofErr w:type="spellEnd"/>
            <w:r w:rsidRPr="004F6ED9">
              <w:rPr>
                <w:color w:val="auto"/>
              </w:rPr>
              <w:t xml:space="preserve">,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алу</w:t>
            </w:r>
            <w:proofErr w:type="gramEnd"/>
            <w:r w:rsidRPr="004F6ED9">
              <w:rPr>
                <w:color w:val="auto"/>
              </w:rPr>
              <w:t>ға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бөлінген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жалпы</w:t>
            </w:r>
            <w:proofErr w:type="spellEnd"/>
            <w:r w:rsidRPr="004F6ED9">
              <w:rPr>
                <w:color w:val="auto"/>
              </w:rPr>
              <w:t xml:space="preserve"> сома*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995D" w14:textId="77777777" w:rsidR="00B81462" w:rsidRDefault="00B81462" w:rsidP="00221485">
            <w:pPr>
              <w:jc w:val="both"/>
              <w:rPr>
                <w:lang w:val="kk-KZ"/>
              </w:rPr>
            </w:pPr>
          </w:p>
          <w:p w14:paraId="728695B2" w14:textId="51EB60C5" w:rsidR="00221485" w:rsidRPr="00221485" w:rsidRDefault="004A0B7F" w:rsidP="00221485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  <w:p w14:paraId="3029B2D2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6CD29F36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B3C9556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Жұмысты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орындау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мерзі</w:t>
            </w:r>
            <w:proofErr w:type="gram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6B85" w14:textId="1754652E" w:rsidR="00190F23" w:rsidRPr="00221485" w:rsidRDefault="00350176" w:rsidP="000C1DC2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Шарт</w:t>
            </w:r>
            <w:proofErr w:type="gram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қа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қол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қойылған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күннен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бастап</w:t>
            </w:r>
            <w:proofErr w:type="spellEnd"/>
            <w:r w:rsidRPr="0035017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4 ай</w:t>
            </w:r>
          </w:p>
        </w:tc>
      </w:tr>
      <w:tr w:rsidR="00221485" w:rsidRPr="00221485" w14:paraId="514089E3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45692FF0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Аванстық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тө</w:t>
            </w:r>
            <w:proofErr w:type="gramStart"/>
            <w:r w:rsidRPr="004F6ED9">
              <w:rPr>
                <w:color w:val="auto"/>
              </w:rPr>
              <w:t>лем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өлшері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7ADF" w14:textId="77777777" w:rsidR="00190F23" w:rsidRPr="006B5F64" w:rsidRDefault="00BB2893" w:rsidP="008A3B2E">
            <w:pPr>
              <w:pStyle w:val="pji"/>
              <w:rPr>
                <w:color w:val="auto"/>
                <w:lang w:val="en-US"/>
              </w:rPr>
            </w:pPr>
            <w:r w:rsidRPr="006B5F64">
              <w:rPr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63E90CE8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Кепілді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</w:t>
            </w:r>
            <w:proofErr w:type="gramEnd"/>
            <w:r w:rsidRPr="004F6ED9">
              <w:rPr>
                <w:color w:val="auto"/>
              </w:rPr>
              <w:t>імі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айлармен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60F5" w14:textId="2A964D4B" w:rsidR="00190F23" w:rsidRPr="00AA687D" w:rsidRDefault="00466616" w:rsidP="008A3B2E">
            <w:pPr>
              <w:pStyle w:val="pji"/>
              <w:rPr>
                <w:b/>
                <w:color w:val="auto"/>
                <w:lang w:val="kk-KZ"/>
              </w:rPr>
            </w:pPr>
            <w:r w:rsidRPr="00466616">
              <w:rPr>
                <w:color w:val="auto"/>
                <w:sz w:val="22"/>
                <w:szCs w:val="22"/>
              </w:rPr>
              <w:t xml:space="preserve">12 (он </w:t>
            </w:r>
            <w:proofErr w:type="spellStart"/>
            <w:r w:rsidRPr="00466616">
              <w:rPr>
                <w:color w:val="auto"/>
                <w:sz w:val="22"/>
                <w:szCs w:val="22"/>
              </w:rPr>
              <w:t>екі</w:t>
            </w:r>
            <w:proofErr w:type="spellEnd"/>
            <w:r w:rsidRPr="00466616">
              <w:rPr>
                <w:color w:val="auto"/>
                <w:sz w:val="22"/>
                <w:szCs w:val="22"/>
              </w:rPr>
              <w:t>)</w:t>
            </w:r>
          </w:p>
        </w:tc>
      </w:tr>
      <w:tr w:rsidR="00687799" w:rsidRPr="00807235" w14:paraId="68947F49" w14:textId="77777777" w:rsidTr="00350176">
        <w:tc>
          <w:tcPr>
            <w:tcW w:w="21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45D45D24" w:rsidR="00687799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беруші</w:t>
            </w:r>
            <w:proofErr w:type="spellEnd"/>
            <w:r w:rsidRPr="004F6ED9">
              <w:rPr>
                <w:color w:val="auto"/>
              </w:rPr>
              <w:t xml:space="preserve"> оны </w:t>
            </w:r>
            <w:proofErr w:type="spellStart"/>
            <w:r w:rsidRPr="004F6ED9">
              <w:rPr>
                <w:color w:val="auto"/>
              </w:rPr>
              <w:t>жеңімпаз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деп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айқындаған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онымен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Мемлекеттік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туралы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шарт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жасасқан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қажет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болған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көрсетіледі</w:t>
            </w:r>
            <w:proofErr w:type="spellEnd"/>
            <w:r w:rsidRPr="004F6ED9">
              <w:rPr>
                <w:color w:val="auto"/>
              </w:rPr>
              <w:t>) (</w:t>
            </w: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lastRenderedPageBreak/>
              <w:t>берушінің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мәліметтерді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көрсетпегені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ұсынбағаны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үшін</w:t>
            </w:r>
            <w:proofErr w:type="spellEnd"/>
            <w:r w:rsidRPr="004F6ED9">
              <w:rPr>
                <w:color w:val="auto"/>
              </w:rPr>
              <w:t xml:space="preserve"> бас </w:t>
            </w:r>
            <w:proofErr w:type="spellStart"/>
            <w:r w:rsidRPr="004F6ED9">
              <w:rPr>
                <w:color w:val="auto"/>
              </w:rPr>
              <w:t>тартуына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жол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берілмейді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7F42" w14:textId="527409BD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lastRenderedPageBreak/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осы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ерекшелікке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қосымша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болып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табылатын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көзделген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көлемдерге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параметрлерге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жабдыққа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сәйкес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орындалуы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4168F86B" w14:textId="48A6874E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lastRenderedPageBreak/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Алматы </w:t>
            </w:r>
            <w:proofErr w:type="spellStart"/>
            <w:r w:rsidR="00807235" w:rsidRPr="00807235">
              <w:rPr>
                <w:rFonts w:eastAsiaTheme="minorHAnsi"/>
                <w:iCs/>
              </w:rPr>
              <w:t>облысының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– </w:t>
            </w:r>
            <w:proofErr w:type="spellStart"/>
            <w:r w:rsidR="00807235" w:rsidRPr="00807235">
              <w:rPr>
                <w:rFonts w:eastAsiaTheme="minorHAnsi"/>
                <w:iCs/>
              </w:rPr>
              <w:t>Төбе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РТС-да "</w:t>
            </w:r>
            <w:proofErr w:type="spellStart"/>
            <w:r w:rsidR="00807235" w:rsidRPr="00807235">
              <w:rPr>
                <w:rFonts w:eastAsiaTheme="minorHAnsi"/>
                <w:iCs/>
              </w:rPr>
              <w:t>электр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шағын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электр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АҚЖ </w:t>
            </w:r>
            <w:proofErr w:type="spellStart"/>
            <w:r w:rsidR="00807235"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Көк-Төбе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РТС </w:t>
            </w:r>
            <w:proofErr w:type="spellStart"/>
            <w:r w:rsidR="00807235" w:rsidRPr="00807235">
              <w:rPr>
                <w:rFonts w:eastAsiaTheme="minorHAnsi"/>
                <w:iCs/>
              </w:rPr>
              <w:t>цтв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гермозонында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құжаттаманы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әзірлеу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"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жобасына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сәйкес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газды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өрт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сөндірудің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автоматты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жүйесі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жүйесін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="00807235" w:rsidRPr="00807235">
              <w:rPr>
                <w:rFonts w:eastAsiaTheme="minorHAnsi"/>
                <w:iCs/>
              </w:rPr>
              <w:t>бұдан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әр</w:t>
            </w:r>
            <w:proofErr w:type="gramStart"/>
            <w:r w:rsidR="00807235" w:rsidRPr="00807235">
              <w:rPr>
                <w:rFonts w:eastAsiaTheme="minorHAnsi"/>
                <w:iCs/>
              </w:rPr>
              <w:t>і</w:t>
            </w:r>
            <w:proofErr w:type="spellEnd"/>
            <w:r w:rsidR="00807235" w:rsidRPr="00807235">
              <w:rPr>
                <w:rFonts w:eastAsiaTheme="minorHAnsi"/>
                <w:iCs/>
              </w:rPr>
              <w:t>-</w:t>
            </w:r>
            <w:proofErr w:type="gramEnd"/>
            <w:r w:rsidR="00807235" w:rsidRPr="00807235">
              <w:rPr>
                <w:rFonts w:eastAsiaTheme="minorHAnsi"/>
                <w:iCs/>
              </w:rPr>
              <w:t xml:space="preserve">АГПТ)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жеткізуді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ж</w:t>
            </w:r>
            <w:proofErr w:type="gramEnd"/>
            <w:r w:rsidR="00807235" w:rsidRPr="00807235">
              <w:rPr>
                <w:rFonts w:eastAsiaTheme="minorHAnsi"/>
                <w:iCs/>
              </w:rPr>
              <w:t>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инсталляциялауды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етеді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730EFADB" w14:textId="37A1878A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Ұсынылған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стандартты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сериялық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өнді</w:t>
            </w:r>
            <w:proofErr w:type="gramStart"/>
            <w:r w:rsidR="00807235" w:rsidRPr="00807235">
              <w:rPr>
                <w:rFonts w:eastAsiaTheme="minorHAnsi"/>
                <w:iCs/>
              </w:rPr>
              <w:t>р</w:t>
            </w:r>
            <w:proofErr w:type="gramEnd"/>
            <w:r w:rsidR="00807235" w:rsidRPr="00807235">
              <w:rPr>
                <w:rFonts w:eastAsiaTheme="minorHAnsi"/>
                <w:iCs/>
              </w:rPr>
              <w:t>іс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үлгісі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Тоқтатылған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моделі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болмауы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20BAA988" w14:textId="4AD9888E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жаңа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зауытта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жасалған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деп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аталатын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Е.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пайдаланылмаған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қалпына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келті</w:t>
            </w:r>
            <w:proofErr w:type="gramStart"/>
            <w:r w:rsidR="00807235" w:rsidRPr="00807235">
              <w:rPr>
                <w:rFonts w:eastAsiaTheme="minorHAnsi"/>
                <w:iCs/>
              </w:rPr>
              <w:t>р</w:t>
            </w:r>
            <w:proofErr w:type="gramEnd"/>
            <w:r w:rsidR="00807235" w:rsidRPr="00807235">
              <w:rPr>
                <w:rFonts w:eastAsiaTheme="minorHAnsi"/>
                <w:iCs/>
              </w:rPr>
              <w:t>ілмеген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қалпына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келтірілген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компоненттерден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жиналмаған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оралғ</w:t>
            </w:r>
            <w:proofErr w:type="gramStart"/>
            <w:r w:rsidR="00807235" w:rsidRPr="00807235">
              <w:rPr>
                <w:rFonts w:eastAsiaTheme="minorHAnsi"/>
                <w:iCs/>
              </w:rPr>
              <w:t>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</w:t>
            </w:r>
            <w:proofErr w:type="gramEnd"/>
            <w:r w:rsidR="00807235" w:rsidRPr="00807235">
              <w:rPr>
                <w:rFonts w:eastAsiaTheme="minorHAnsi"/>
                <w:iCs/>
              </w:rPr>
              <w:t>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зауыттық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таңбаланған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3406978E" w14:textId="16589E1C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аяқталғаннан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кейін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АГПТ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жүйесі</w:t>
            </w:r>
            <w:proofErr w:type="gramStart"/>
            <w:r w:rsidR="00807235" w:rsidRPr="00807235">
              <w:rPr>
                <w:rFonts w:eastAsiaTheme="minorHAnsi"/>
                <w:iCs/>
              </w:rPr>
              <w:t>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</w:t>
            </w:r>
            <w:proofErr w:type="gramEnd"/>
            <w:r w:rsidR="00807235" w:rsidRPr="00807235">
              <w:rPr>
                <w:rFonts w:eastAsiaTheme="minorHAnsi"/>
                <w:iCs/>
              </w:rPr>
              <w:t>ұмысына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толық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диагностика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жүргізуі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7BF0F18F" w14:textId="60B64893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құнына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пайдаланылатын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материалдардың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жабдықтардың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қызметтердің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жұмыстардың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т.б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құны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кіреді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656FE605" w14:textId="4C0B1647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қызметкерлеріне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өрт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өнеркәсіпті</w:t>
            </w:r>
            <w:proofErr w:type="gramStart"/>
            <w:r w:rsidR="00807235" w:rsidRPr="00807235">
              <w:rPr>
                <w:rFonts w:eastAsiaTheme="minorHAnsi"/>
                <w:iCs/>
              </w:rPr>
              <w:t>к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қауіпсіздік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еңбекті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қорғау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электр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бойынша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жауап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береді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10D83D63" w14:textId="77777777" w:rsidR="00807235" w:rsidRPr="00F8733E" w:rsidRDefault="00807235" w:rsidP="000059EF">
            <w:pPr>
              <w:jc w:val="both"/>
              <w:rPr>
                <w:rFonts w:eastAsiaTheme="minorHAnsi"/>
                <w:b/>
                <w:iCs/>
              </w:rPr>
            </w:pPr>
            <w:proofErr w:type="spellStart"/>
            <w:r w:rsidRPr="00F8733E">
              <w:rPr>
                <w:rFonts w:eastAsiaTheme="minorHAnsi"/>
                <w:b/>
                <w:iCs/>
              </w:rPr>
              <w:t>Өндіруші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мен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жеткізушінің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кепілдіктері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52B7C433" w14:textId="60628AB1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белгіленген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сақтау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ережелерін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сақтаған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жағдайда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берілген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сәттен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бастап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кемінде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r w:rsidR="00807235" w:rsidRPr="000059EF">
              <w:rPr>
                <w:rFonts w:eastAsiaTheme="minorHAnsi"/>
                <w:iCs/>
              </w:rPr>
              <w:t xml:space="preserve">12 ай </w:t>
            </w:r>
            <w:proofErr w:type="spellStart"/>
            <w:r w:rsidR="00807235" w:rsidRPr="000059EF">
              <w:rPr>
                <w:rFonts w:eastAsiaTheme="minorHAnsi"/>
                <w:iCs/>
              </w:rPr>
              <w:t>ішінде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жөндеуге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. </w:t>
            </w:r>
          </w:p>
          <w:p w14:paraId="6EEEAC12" w14:textId="3F6F8D87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мерзімі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ішінде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кінәсінен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туындаған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анықталғ</w:t>
            </w:r>
            <w:proofErr w:type="gramStart"/>
            <w:r w:rsidR="00807235" w:rsidRPr="00807235">
              <w:rPr>
                <w:rFonts w:eastAsiaTheme="minorHAnsi"/>
                <w:iCs/>
              </w:rPr>
              <w:t>ан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өтеусіз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жоюға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немесе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істен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шыққан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бұйымдарды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тораптар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блоктарды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ауыстыруға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міндеттенеді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554C1CAF" w14:textId="35955D18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міндеттемелерді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орындау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мерзімі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r w:rsidR="00807235" w:rsidRPr="000059EF">
              <w:rPr>
                <w:rFonts w:eastAsiaTheme="minorHAnsi"/>
                <w:iCs/>
              </w:rPr>
              <w:t xml:space="preserve">30 </w:t>
            </w:r>
            <w:proofErr w:type="spellStart"/>
            <w:r w:rsidR="00807235" w:rsidRPr="000059EF">
              <w:rPr>
                <w:rFonts w:eastAsiaTheme="minorHAnsi"/>
                <w:iCs/>
              </w:rPr>
              <w:t>күнтізбелік</w:t>
            </w:r>
            <w:proofErr w:type="spellEnd"/>
            <w:r w:rsidR="00807235" w:rsidRPr="000059EF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0059EF">
              <w:rPr>
                <w:rFonts w:eastAsiaTheme="minorHAnsi"/>
                <w:iCs/>
              </w:rPr>
              <w:t>к</w:t>
            </w:r>
            <w:proofErr w:type="gramEnd"/>
            <w:r w:rsidR="00807235" w:rsidRPr="000059EF">
              <w:rPr>
                <w:rFonts w:eastAsiaTheme="minorHAnsi"/>
                <w:iCs/>
              </w:rPr>
              <w:t>үннен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аспауға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мерзімі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ішінде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анықталған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жоюды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қандай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да </w:t>
            </w:r>
            <w:proofErr w:type="spellStart"/>
            <w:r w:rsidR="00807235" w:rsidRPr="00807235">
              <w:rPr>
                <w:rFonts w:eastAsiaTheme="minorHAnsi"/>
                <w:iCs/>
              </w:rPr>
              <w:t>бір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қосымша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оның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ішінде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т.б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бойынша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дербес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жүзеге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асырады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63F54003" w14:textId="3E212E85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Істен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шыққан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мерзімін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жарнамалар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берілген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күннен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бастап</w:t>
            </w:r>
            <w:proofErr w:type="spellEnd"/>
            <w:proofErr w:type="gramStart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</w:t>
            </w:r>
            <w:proofErr w:type="gramEnd"/>
            <w:r w:rsidR="00807235" w:rsidRPr="00807235">
              <w:rPr>
                <w:rFonts w:eastAsiaTheme="minorHAnsi"/>
                <w:iCs/>
              </w:rPr>
              <w:t>өнделген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қайтадан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күнге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дейінгі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кезеңге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ұзартады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52A59625" w14:textId="1A028520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</w:t>
            </w:r>
            <w:proofErr w:type="gramStart"/>
            <w:r w:rsidR="00807235" w:rsidRPr="00807235">
              <w:rPr>
                <w:rFonts w:eastAsiaTheme="minorHAnsi"/>
                <w:iCs/>
              </w:rPr>
              <w:t>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</w:t>
            </w:r>
            <w:proofErr w:type="gramEnd"/>
            <w:r w:rsidR="00807235" w:rsidRPr="00807235">
              <w:rPr>
                <w:rFonts w:eastAsiaTheme="minorHAnsi"/>
                <w:iCs/>
              </w:rPr>
              <w:t>імі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етуді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жаңарту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қосымша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lastRenderedPageBreak/>
              <w:t>берушінің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есебінен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белгіленеді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</w:p>
          <w:p w14:paraId="357DE83A" w14:textId="6DB9EA2C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Кепілдікті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таратқ</w:t>
            </w:r>
            <w:r w:rsidR="00F8733E">
              <w:rPr>
                <w:rFonts w:eastAsiaTheme="minorHAnsi"/>
                <w:iCs/>
              </w:rPr>
              <w:t>ыштарда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орнатылған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қолданыстағы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жасақтаманы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жаңарту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үшін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жа</w:t>
            </w:r>
            <w:proofErr w:type="gramEnd"/>
            <w:r w:rsidR="00807235" w:rsidRPr="00807235">
              <w:rPr>
                <w:rFonts w:eastAsiaTheme="minorHAnsi"/>
                <w:iCs/>
              </w:rPr>
              <w:t>ңа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нұсқаларына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қабылдау-бақылау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басқару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құралы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тегін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қол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жетімділік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</w:p>
          <w:p w14:paraId="3A42CA4B" w14:textId="10599A1D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беру </w:t>
            </w:r>
            <w:proofErr w:type="spellStart"/>
            <w:r w:rsidR="00807235" w:rsidRPr="00807235">
              <w:rPr>
                <w:rFonts w:eastAsiaTheme="minorHAnsi"/>
                <w:iCs/>
              </w:rPr>
              <w:t>актісі</w:t>
            </w:r>
            <w:proofErr w:type="gramStart"/>
            <w:r w:rsidR="00807235" w:rsidRPr="00807235">
              <w:rPr>
                <w:rFonts w:eastAsiaTheme="minorHAnsi"/>
                <w:iCs/>
              </w:rPr>
              <w:t>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қол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қойылғаннан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кейін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кепілдік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қызмет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көрсету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SNMP-</w:t>
            </w:r>
            <w:proofErr w:type="spellStart"/>
            <w:r w:rsidR="00807235" w:rsidRPr="00807235">
              <w:rPr>
                <w:rFonts w:eastAsiaTheme="minorHAnsi"/>
                <w:iCs/>
              </w:rPr>
              <w:t>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өзгерістер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енгізу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қажеттілігі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туындаған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қолдау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шеңберінде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жеке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шарт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бойынша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жүзеге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асырылады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 </w:t>
            </w:r>
          </w:p>
          <w:p w14:paraId="2F577531" w14:textId="587A1563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r w:rsidR="00807235" w:rsidRPr="00807235">
              <w:rPr>
                <w:rFonts w:eastAsiaTheme="minorHAnsi"/>
                <w:iCs/>
              </w:rPr>
              <w:t xml:space="preserve">АГПТ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жүйесіне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немесе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басқа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қосымша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жабдыққа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жүктелген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етуде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мерзімінің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шектеулері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болмауы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қосымша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орындау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құнына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кіреді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49379964" w14:textId="5E936269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модификациясы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үйлесімділігі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туралы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ақпарат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75045AD4" w14:textId="5733421D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Кешеннің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істеуінің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тағайындалған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ресурсы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толық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берілген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сәттен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бастап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кемінде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120 </w:t>
            </w:r>
            <w:proofErr w:type="spellStart"/>
            <w:r w:rsidR="00807235" w:rsidRPr="00807235">
              <w:rPr>
                <w:rFonts w:eastAsiaTheme="minorHAnsi"/>
                <w:iCs/>
              </w:rPr>
              <w:t>айды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құрауға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431D7E7C" w14:textId="647C48EC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0819EB" w:rsidRPr="000819EB">
              <w:rPr>
                <w:rFonts w:eastAsiaTheme="minorHAnsi"/>
                <w:iCs/>
              </w:rPr>
              <w:t>Өнім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беруші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шарт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жасасқаннан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кейін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күнтізбелік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15 </w:t>
            </w:r>
            <w:proofErr w:type="spellStart"/>
            <w:r w:rsidR="000819EB" w:rsidRPr="000819EB">
              <w:rPr>
                <w:rFonts w:eastAsiaTheme="minorHAnsi"/>
                <w:iCs/>
              </w:rPr>
              <w:t>күн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ішінде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жабдықты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өндірушіден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жабдықта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орнатылған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лицензиялық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бағдарламалық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қамтамасыз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етудің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дұрыстығын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растайтын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хатты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r w:rsidR="000819EB" w:rsidRPr="000819EB">
              <w:rPr>
                <w:rFonts w:eastAsiaTheme="minorHAnsi"/>
                <w:iCs/>
              </w:rPr>
              <w:t>ұсынуға</w:t>
            </w:r>
            <w:proofErr w:type="spellEnd"/>
            <w:r w:rsidR="000819EB" w:rsidRPr="000819EB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0819EB" w:rsidRPr="000819EB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="000819EB" w:rsidRPr="000819EB">
              <w:rPr>
                <w:rFonts w:eastAsiaTheme="minorHAnsi"/>
                <w:iCs/>
              </w:rPr>
              <w:t>.</w:t>
            </w:r>
          </w:p>
          <w:p w14:paraId="5D8A4478" w14:textId="77777777" w:rsidR="00807235" w:rsidRPr="00F8733E" w:rsidRDefault="00807235" w:rsidP="000059EF">
            <w:pPr>
              <w:jc w:val="both"/>
              <w:rPr>
                <w:rFonts w:eastAsiaTheme="minorHAnsi"/>
                <w:b/>
                <w:iCs/>
              </w:rPr>
            </w:pPr>
            <w:r w:rsidRPr="00F8733E">
              <w:rPr>
                <w:rFonts w:eastAsiaTheme="minorHAnsi"/>
                <w:b/>
                <w:iCs/>
              </w:rPr>
              <w:t xml:space="preserve">АГПТ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жүйесін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монтаждау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жөніндегі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жұмыстарды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жеткізушіге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1C719F3D" w14:textId="0F065F47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спецификациясын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жиынтықтың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сипаттамасын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әрбір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түріне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сипаттаманы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ЗИП </w:t>
            </w:r>
            <w:proofErr w:type="spellStart"/>
            <w:r w:rsidR="00807235"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құжаттарының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сондай-ақ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дайындаушы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зауыттың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сынақ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сына</w:t>
            </w:r>
            <w:proofErr w:type="gramEnd"/>
            <w:r w:rsidR="00807235" w:rsidRPr="00807235">
              <w:rPr>
                <w:rFonts w:eastAsiaTheme="minorHAnsi"/>
                <w:iCs/>
              </w:rPr>
              <w:t>ғы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бар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әрбір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моделіне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паспортты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ұсынуы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4DF6B35D" w14:textId="0281DC98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құжаттамасы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МЕМСТ 2.601-2006 "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конструкторлық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құжаттаманың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бірыңғ</w:t>
            </w:r>
            <w:proofErr w:type="gramStart"/>
            <w:r w:rsidR="00807235" w:rsidRPr="00807235">
              <w:rPr>
                <w:rFonts w:eastAsiaTheme="minorHAnsi"/>
                <w:iCs/>
              </w:rPr>
              <w:t>ай</w:t>
            </w:r>
            <w:proofErr w:type="spellEnd"/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жүйесі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құжаттары</w:t>
            </w:r>
            <w:proofErr w:type="spellEnd"/>
            <w:r w:rsidR="00807235" w:rsidRPr="00807235">
              <w:rPr>
                <w:rFonts w:eastAsiaTheme="minorHAnsi"/>
                <w:iCs/>
              </w:rPr>
              <w:t>".</w:t>
            </w:r>
          </w:p>
          <w:p w14:paraId="0C4BC636" w14:textId="237BA29F" w:rsidR="00807235" w:rsidRPr="00807235" w:rsidRDefault="00807235" w:rsidP="000059EF">
            <w:pPr>
              <w:jc w:val="both"/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инсталляциялық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орналастыру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схемаларына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жобаға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қосу-баптауды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1FFCDC6" w14:textId="4AF876BB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Өнім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="00807235" w:rsidRPr="00807235">
              <w:rPr>
                <w:rFonts w:eastAsiaTheme="minorHAnsi"/>
                <w:iCs/>
              </w:rPr>
              <w:t>Р</w:t>
            </w:r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аумағына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әкелудің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заңдылығын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қажетті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құжаттарды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="00807235" w:rsidRPr="00807235">
              <w:rPr>
                <w:rFonts w:eastAsiaTheme="minorHAnsi"/>
                <w:iCs/>
              </w:rPr>
              <w:t>ddp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шарттарында</w:t>
            </w:r>
            <w:proofErr w:type="spellEnd"/>
            <w:r w:rsidR="00807235" w:rsidRPr="00807235">
              <w:rPr>
                <w:rFonts w:eastAsiaTheme="minorHAnsi"/>
                <w:iCs/>
              </w:rPr>
              <w:t>).</w:t>
            </w:r>
          </w:p>
          <w:p w14:paraId="5D85FBB2" w14:textId="38EFB0AA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қажетті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сертификаттау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жұмыстарын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өз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есебінен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жүргізуі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="00807235" w:rsidRPr="00807235">
              <w:rPr>
                <w:rFonts w:eastAsiaTheme="minorHAnsi"/>
                <w:iCs/>
              </w:rPr>
              <w:t>Р</w:t>
            </w:r>
            <w:proofErr w:type="gram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шығу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сертификатын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(DDP </w:t>
            </w:r>
            <w:proofErr w:type="spellStart"/>
            <w:r w:rsidR="00807235" w:rsidRPr="00807235">
              <w:rPr>
                <w:rFonts w:eastAsiaTheme="minorHAnsi"/>
                <w:iCs/>
              </w:rPr>
              <w:t>шарттары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бойынша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="00807235" w:rsidRPr="00807235">
              <w:rPr>
                <w:rFonts w:eastAsiaTheme="minorHAnsi"/>
                <w:iCs/>
              </w:rPr>
              <w:lastRenderedPageBreak/>
              <w:t>ұсынуы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тиіс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7815C28A" w14:textId="5E59343C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Жабдықтаушы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одан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ә</w:t>
            </w:r>
            <w:proofErr w:type="gramStart"/>
            <w:r w:rsidR="00807235" w:rsidRPr="00807235">
              <w:rPr>
                <w:rFonts w:eastAsiaTheme="minorHAnsi"/>
                <w:iCs/>
              </w:rPr>
              <w:t>р</w:t>
            </w:r>
            <w:proofErr w:type="gramEnd"/>
            <w:r w:rsidR="00807235" w:rsidRPr="00807235">
              <w:rPr>
                <w:rFonts w:eastAsiaTheme="minorHAnsi"/>
                <w:iCs/>
              </w:rPr>
              <w:t>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мүмкіндігі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үшін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Тапсырыс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персоналына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нұсқау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беруге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міндетті</w:t>
            </w:r>
            <w:proofErr w:type="spellEnd"/>
          </w:p>
          <w:p w14:paraId="75D51108" w14:textId="1F35D0C5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Жабдықты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орнату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кезінде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кабельдердің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ұштарын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нөмірлеп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="00807235" w:rsidRPr="00807235">
              <w:rPr>
                <w:rFonts w:eastAsiaTheme="minorHAnsi"/>
                <w:iCs/>
              </w:rPr>
              <w:t>нөмірлеуді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кабельдік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журнал</w:t>
            </w:r>
            <w:proofErr w:type="gramEnd"/>
            <w:r w:rsidR="00807235" w:rsidRPr="00807235">
              <w:rPr>
                <w:rFonts w:eastAsiaTheme="minorHAnsi"/>
                <w:iCs/>
              </w:rPr>
              <w:t>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енгізуі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09FB4523" w14:textId="6E96C96A" w:rsidR="00807235" w:rsidRPr="00807235" w:rsidRDefault="000059EF" w:rsidP="000059EF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proofErr w:type="spellStart"/>
            <w:r w:rsidR="00807235"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барлық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="00807235" w:rsidRPr="00807235">
              <w:rPr>
                <w:rFonts w:eastAsiaTheme="minorHAnsi"/>
                <w:iCs/>
              </w:rPr>
              <w:t>жабды</w:t>
            </w:r>
            <w:proofErr w:type="gramEnd"/>
            <w:r w:rsidR="00807235" w:rsidRPr="00807235">
              <w:rPr>
                <w:rFonts w:eastAsiaTheme="minorHAnsi"/>
                <w:iCs/>
              </w:rPr>
              <w:t>ққа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қызмет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көрсету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регламентін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ұсынуы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және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негізгі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тораптардан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бас </w:t>
            </w:r>
            <w:proofErr w:type="spellStart"/>
            <w:r w:rsidR="00807235" w:rsidRPr="00807235">
              <w:rPr>
                <w:rFonts w:eastAsiaTheme="minorHAnsi"/>
                <w:iCs/>
              </w:rPr>
              <w:t>тартуға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арналған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жұмысты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көрсетуі</w:t>
            </w:r>
            <w:proofErr w:type="spellEnd"/>
            <w:r w:rsidR="00807235"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="00807235" w:rsidRPr="00807235">
              <w:rPr>
                <w:rFonts w:eastAsiaTheme="minorHAnsi"/>
                <w:iCs/>
              </w:rPr>
              <w:t>керек</w:t>
            </w:r>
            <w:proofErr w:type="spellEnd"/>
            <w:r w:rsidR="00807235" w:rsidRPr="00807235">
              <w:rPr>
                <w:rFonts w:eastAsiaTheme="minorHAnsi"/>
                <w:iCs/>
              </w:rPr>
              <w:t>.</w:t>
            </w:r>
          </w:p>
          <w:p w14:paraId="7009A616" w14:textId="77777777" w:rsidR="00807235" w:rsidRPr="00807235" w:rsidRDefault="00807235" w:rsidP="000059EF">
            <w:pPr>
              <w:jc w:val="both"/>
              <w:rPr>
                <w:rFonts w:eastAsiaTheme="minorHAnsi"/>
                <w:iCs/>
              </w:rPr>
            </w:pPr>
          </w:p>
          <w:p w14:paraId="3D359D0B" w14:textId="77777777" w:rsidR="00807235" w:rsidRPr="00807235" w:rsidRDefault="00807235" w:rsidP="000059EF">
            <w:pPr>
              <w:jc w:val="both"/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b/>
                <w:iCs/>
              </w:rPr>
              <w:t>орау</w:t>
            </w:r>
            <w:proofErr w:type="gramEnd"/>
            <w:r w:rsidRPr="00807235">
              <w:rPr>
                <w:rFonts w:eastAsiaTheme="minorHAnsi"/>
                <w:b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: </w:t>
            </w:r>
          </w:p>
          <w:p w14:paraId="4CD67CFF" w14:textId="77777777" w:rsidR="00807235" w:rsidRPr="00807235" w:rsidRDefault="00807235" w:rsidP="000059EF">
            <w:pPr>
              <w:jc w:val="both"/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ab/>
            </w:r>
            <w:proofErr w:type="spellStart"/>
            <w:r w:rsidRPr="00807235">
              <w:rPr>
                <w:rFonts w:eastAsiaTheme="minorHAnsi"/>
                <w:iCs/>
              </w:rPr>
              <w:t>Қаптама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сақталуын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метеорологиялық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факторлардың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әсерінен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қорғауды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B861FD9" w14:textId="77777777" w:rsidR="00807235" w:rsidRPr="00807235" w:rsidRDefault="00807235" w:rsidP="000059EF">
            <w:pPr>
              <w:jc w:val="both"/>
              <w:rPr>
                <w:rFonts w:eastAsiaTheme="minorHAnsi"/>
                <w:iCs/>
              </w:rPr>
            </w:pPr>
          </w:p>
          <w:p w14:paraId="4380A02C" w14:textId="77777777" w:rsidR="00807235" w:rsidRPr="00807235" w:rsidRDefault="00807235" w:rsidP="000059EF">
            <w:pPr>
              <w:jc w:val="both"/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орнатқаннан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b/>
                <w:iCs/>
              </w:rPr>
              <w:t>:</w:t>
            </w:r>
          </w:p>
          <w:p w14:paraId="2453ACBE" w14:textId="77777777" w:rsidR="00807235" w:rsidRPr="00807235" w:rsidRDefault="00807235" w:rsidP="000059EF">
            <w:pPr>
              <w:ind w:left="708"/>
              <w:jc w:val="both"/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тілінде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қағаз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Нұсқаулық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CD4BE47" w14:textId="3916B71C" w:rsidR="00CF121C" w:rsidRPr="00B81462" w:rsidRDefault="00807235" w:rsidP="000059EF">
            <w:pPr>
              <w:ind w:left="708"/>
              <w:jc w:val="both"/>
              <w:rPr>
                <w:rFonts w:eastAsiaTheme="minorHAnsi"/>
                <w:iCs/>
                <w:lang w:val="kk-KZ"/>
              </w:rPr>
            </w:pPr>
            <w:r w:rsidRPr="00807235">
              <w:rPr>
                <w:rFonts w:eastAsiaTheme="minorHAnsi"/>
                <w:iCs/>
              </w:rPr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мөрімен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күні</w:t>
            </w:r>
            <w:proofErr w:type="gramStart"/>
            <w:r w:rsidRPr="00807235">
              <w:rPr>
                <w:rFonts w:eastAsiaTheme="minorHAnsi"/>
                <w:iCs/>
              </w:rPr>
              <w:t>н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сипаттамаларының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сәйкестігін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паспорт / </w:t>
            </w:r>
            <w:proofErr w:type="spellStart"/>
            <w:r w:rsidRPr="00807235">
              <w:rPr>
                <w:rFonts w:eastAsiaTheme="minorHAnsi"/>
                <w:iCs/>
              </w:rPr>
              <w:t>хаттама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</w:tc>
      </w:tr>
      <w:tr w:rsidR="00916883" w:rsidRPr="00807235" w14:paraId="7299E7DB" w14:textId="77777777" w:rsidTr="00350176">
        <w:trPr>
          <w:trHeight w:val="7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807235" w:rsidRDefault="00916883" w:rsidP="008A3B2E">
            <w:pPr>
              <w:pStyle w:val="pji"/>
              <w:rPr>
                <w:color w:val="auto"/>
                <w:lang w:val="kk-KZ"/>
              </w:rPr>
            </w:pP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246A57CA" w:rsidR="00916883" w:rsidRPr="00B81462" w:rsidRDefault="00916883" w:rsidP="00B81462">
            <w:pPr>
              <w:rPr>
                <w:b/>
                <w:bCs/>
                <w:lang w:val="kk-KZ"/>
              </w:rPr>
            </w:pPr>
          </w:p>
        </w:tc>
      </w:tr>
    </w:tbl>
    <w:p w14:paraId="25AA3200" w14:textId="77777777" w:rsidR="00DE5E05" w:rsidRPr="00DB7DA2" w:rsidRDefault="00190F23" w:rsidP="00DE5E05">
      <w:pPr>
        <w:pStyle w:val="pj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  <w:r w:rsidR="00DE5E05" w:rsidRPr="00DB7DA2">
        <w:rPr>
          <w:color w:val="auto"/>
          <w:lang w:val="kk-KZ"/>
        </w:rPr>
        <w:t>* мәліметтер мемлекеттік сатып алу жоспарынан тартылады (автоматты түрде көрсетіледі).</w:t>
      </w:r>
    </w:p>
    <w:p w14:paraId="0D4CFDEC" w14:textId="77777777" w:rsidR="00DE5E05" w:rsidRPr="00DB7DA2" w:rsidRDefault="00DE5E05" w:rsidP="00DE5E05">
      <w:pPr>
        <w:pStyle w:val="pj"/>
        <w:rPr>
          <w:color w:val="auto"/>
          <w:lang w:val="kk-KZ"/>
        </w:rPr>
      </w:pPr>
      <w:r w:rsidRPr="00DB7DA2">
        <w:rPr>
          <w:color w:val="auto"/>
          <w:lang w:val="kk-KZ"/>
        </w:rPr>
        <w:t xml:space="preserve"> </w:t>
      </w:r>
    </w:p>
    <w:p w14:paraId="6C0CBBA4" w14:textId="5DB60AFE" w:rsidR="00221485" w:rsidRPr="00DB7DA2" w:rsidRDefault="00DE5E05" w:rsidP="00DE5E05">
      <w:pPr>
        <w:pStyle w:val="pj"/>
        <w:rPr>
          <w:lang w:val="kk-KZ"/>
        </w:rPr>
      </w:pPr>
      <w:r w:rsidRPr="00DB7DA2">
        <w:rPr>
          <w:color w:val="auto"/>
          <w:lang w:val="kk-KZ"/>
        </w:rPr>
        <w:t>Ескертпе: осы техникалық ерекшелікте әлеуетті өнім берушіге қойылатын біліктілік талаптарын белгілеуге жол берілмейді.</w:t>
      </w:r>
    </w:p>
    <w:p w14:paraId="5F089B0F" w14:textId="77777777" w:rsidR="004F6ED9" w:rsidRDefault="004F6ED9" w:rsidP="004F6ED9">
      <w:pPr>
        <w:textAlignment w:val="baseline"/>
        <w:rPr>
          <w:lang w:val="kk-KZ"/>
        </w:rPr>
      </w:pPr>
    </w:p>
    <w:p w14:paraId="77D50750" w14:textId="77777777" w:rsidR="004F6ED9" w:rsidRPr="009C32F4" w:rsidRDefault="004F6ED9" w:rsidP="004F6ED9">
      <w:pPr>
        <w:ind w:firstLine="709"/>
        <w:rPr>
          <w:sz w:val="20"/>
          <w:szCs w:val="20"/>
          <w:lang w:val="kk-KZ"/>
        </w:rPr>
      </w:pPr>
    </w:p>
    <w:p w14:paraId="50CBC100" w14:textId="77777777" w:rsidR="004843AA" w:rsidRDefault="004843AA" w:rsidP="004843AA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bookmarkStart w:id="0" w:name="_GoBack"/>
      <w:bookmarkEnd w:id="0"/>
      <w:r w:rsidRPr="004843AA">
        <w:rPr>
          <w:rFonts w:eastAsiaTheme="minorHAnsi"/>
          <w:b/>
          <w:bCs/>
          <w:color w:val="000000"/>
          <w:lang w:eastAsia="en-US"/>
        </w:rPr>
        <w:t xml:space="preserve">Желіге қызмет көрсету </w:t>
      </w:r>
    </w:p>
    <w:p w14:paraId="2DBFC8F2" w14:textId="7673D6D0" w:rsidR="004843AA" w:rsidRPr="004843AA" w:rsidRDefault="004843AA" w:rsidP="004843AA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4843AA">
        <w:rPr>
          <w:rFonts w:eastAsiaTheme="minorHAnsi"/>
          <w:b/>
          <w:bCs/>
          <w:color w:val="000000"/>
          <w:lang w:eastAsia="en-US"/>
        </w:rPr>
        <w:t>Департаментінің директоры</w:t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b/>
          <w:lang w:val="kk-KZ"/>
        </w:rPr>
        <w:t>___________________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4843AA">
        <w:rPr>
          <w:rFonts w:eastAsiaTheme="minorHAnsi"/>
          <w:b/>
          <w:bCs/>
          <w:color w:val="000000"/>
          <w:lang w:eastAsia="en-US"/>
        </w:rPr>
        <w:t xml:space="preserve">А. </w:t>
      </w:r>
      <w:r>
        <w:rPr>
          <w:rFonts w:eastAsiaTheme="minorHAnsi"/>
          <w:b/>
          <w:bCs/>
          <w:color w:val="000000"/>
          <w:lang w:eastAsia="en-US"/>
        </w:rPr>
        <w:t>Баиркенов</w:t>
      </w:r>
    </w:p>
    <w:p w14:paraId="3D5E9B33" w14:textId="77777777" w:rsidR="004843AA" w:rsidRPr="00AB419B" w:rsidRDefault="004843AA" w:rsidP="004F6ED9">
      <w:pPr>
        <w:pStyle w:val="a3"/>
        <w:spacing w:before="0" w:beforeAutospacing="0" w:after="0" w:afterAutospacing="0"/>
        <w:jc w:val="both"/>
        <w:rPr>
          <w:b/>
        </w:rPr>
      </w:pPr>
    </w:p>
    <w:p w14:paraId="7B2B4EB1" w14:textId="77777777" w:rsidR="001D21FE" w:rsidRDefault="004F6ED9" w:rsidP="004F6ED9">
      <w:pPr>
        <w:jc w:val="both"/>
        <w:textAlignment w:val="baseline"/>
        <w:rPr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 w:rsidR="001D21FE">
        <w:rPr>
          <w:b/>
          <w:lang w:val="kk-KZ"/>
        </w:rPr>
        <w:t>энергетика</w:t>
      </w:r>
    </w:p>
    <w:p w14:paraId="58CFB563" w14:textId="15CD3DC5" w:rsidR="004F6ED9" w:rsidRPr="005261AF" w:rsidRDefault="004F6ED9" w:rsidP="004F6ED9">
      <w:pPr>
        <w:jc w:val="both"/>
        <w:textAlignment w:val="baseline"/>
        <w:rPr>
          <w:rStyle w:val="s0"/>
          <w:b/>
          <w:lang w:val="kk-KZ"/>
        </w:rPr>
      </w:pP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</w:t>
      </w:r>
      <w:r w:rsidR="001D21FE">
        <w:rPr>
          <w:b/>
          <w:lang w:val="kk-KZ"/>
        </w:rPr>
        <w:t>бастығы</w:t>
      </w:r>
      <w:r w:rsidR="001D21FE">
        <w:rPr>
          <w:b/>
          <w:lang w:val="kk-KZ"/>
        </w:rPr>
        <w:tab/>
      </w:r>
      <w:r w:rsidR="001D21FE">
        <w:rPr>
          <w:b/>
          <w:lang w:val="kk-KZ"/>
        </w:rPr>
        <w:tab/>
      </w:r>
      <w:r w:rsidR="001D21FE">
        <w:rPr>
          <w:b/>
          <w:lang w:val="kk-KZ"/>
        </w:rPr>
        <w:tab/>
      </w:r>
      <w:r w:rsidR="001D21FE">
        <w:rPr>
          <w:b/>
          <w:lang w:val="kk-KZ"/>
        </w:rPr>
        <w:tab/>
      </w:r>
      <w:r w:rsidR="001D21FE">
        <w:rPr>
          <w:b/>
          <w:lang w:val="kk-KZ"/>
        </w:rPr>
        <w:tab/>
      </w:r>
      <w:r>
        <w:rPr>
          <w:b/>
          <w:lang w:val="kk-KZ"/>
        </w:rPr>
        <w:t>___________________ К. Ордатаев</w:t>
      </w:r>
    </w:p>
    <w:p w14:paraId="1BB3BA33" w14:textId="77777777" w:rsidR="0022461C" w:rsidRPr="004F6ED9" w:rsidRDefault="0022461C" w:rsidP="00AA4744">
      <w:pPr>
        <w:pStyle w:val="p"/>
        <w:rPr>
          <w:lang w:val="kk-KZ"/>
        </w:rPr>
      </w:pPr>
    </w:p>
    <w:p w14:paraId="3D8C80DB" w14:textId="77777777" w:rsidR="002D163F" w:rsidRPr="00DE5E05" w:rsidRDefault="002D163F" w:rsidP="00DE5E05">
      <w:pPr>
        <w:pStyle w:val="p"/>
        <w:rPr>
          <w:lang w:val="kk-KZ"/>
        </w:rPr>
      </w:pPr>
    </w:p>
    <w:sectPr w:rsidR="002D163F" w:rsidRPr="00DE5E05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2B95"/>
    <w:multiLevelType w:val="hybridMultilevel"/>
    <w:tmpl w:val="623C01E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A42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5C3"/>
    <w:multiLevelType w:val="hybridMultilevel"/>
    <w:tmpl w:val="D2AEFE2E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13AF"/>
    <w:multiLevelType w:val="hybridMultilevel"/>
    <w:tmpl w:val="8E2A549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72240"/>
    <w:multiLevelType w:val="hybridMultilevel"/>
    <w:tmpl w:val="40F8BE5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59EF"/>
    <w:rsid w:val="000819EB"/>
    <w:rsid w:val="00092C66"/>
    <w:rsid w:val="000C1DC2"/>
    <w:rsid w:val="00125523"/>
    <w:rsid w:val="001271B2"/>
    <w:rsid w:val="00183F42"/>
    <w:rsid w:val="00190F23"/>
    <w:rsid w:val="001D21FE"/>
    <w:rsid w:val="001E545D"/>
    <w:rsid w:val="00221485"/>
    <w:rsid w:val="0022461C"/>
    <w:rsid w:val="002D163F"/>
    <w:rsid w:val="002D2850"/>
    <w:rsid w:val="00322D45"/>
    <w:rsid w:val="00350176"/>
    <w:rsid w:val="003704C8"/>
    <w:rsid w:val="003B0F4F"/>
    <w:rsid w:val="003F15C6"/>
    <w:rsid w:val="004203D4"/>
    <w:rsid w:val="00466616"/>
    <w:rsid w:val="004843AA"/>
    <w:rsid w:val="004A0B7F"/>
    <w:rsid w:val="004E7E11"/>
    <w:rsid w:val="004F6ED9"/>
    <w:rsid w:val="00542432"/>
    <w:rsid w:val="00564265"/>
    <w:rsid w:val="005D20A4"/>
    <w:rsid w:val="005F04EC"/>
    <w:rsid w:val="0068457C"/>
    <w:rsid w:val="00687799"/>
    <w:rsid w:val="006B5F64"/>
    <w:rsid w:val="006C71F8"/>
    <w:rsid w:val="00727289"/>
    <w:rsid w:val="00750534"/>
    <w:rsid w:val="007642A3"/>
    <w:rsid w:val="007E4C27"/>
    <w:rsid w:val="00800F9B"/>
    <w:rsid w:val="00802207"/>
    <w:rsid w:val="00802C7E"/>
    <w:rsid w:val="00807235"/>
    <w:rsid w:val="00811E14"/>
    <w:rsid w:val="008121BF"/>
    <w:rsid w:val="008E466B"/>
    <w:rsid w:val="00910969"/>
    <w:rsid w:val="009113C5"/>
    <w:rsid w:val="00916883"/>
    <w:rsid w:val="00A05A2F"/>
    <w:rsid w:val="00A354D3"/>
    <w:rsid w:val="00A912FC"/>
    <w:rsid w:val="00AA4744"/>
    <w:rsid w:val="00AA687D"/>
    <w:rsid w:val="00AB419B"/>
    <w:rsid w:val="00AC26FB"/>
    <w:rsid w:val="00AD13BA"/>
    <w:rsid w:val="00AF0F82"/>
    <w:rsid w:val="00B1144B"/>
    <w:rsid w:val="00B25815"/>
    <w:rsid w:val="00B33558"/>
    <w:rsid w:val="00B50E64"/>
    <w:rsid w:val="00B81462"/>
    <w:rsid w:val="00B8530E"/>
    <w:rsid w:val="00BB2893"/>
    <w:rsid w:val="00BD4A91"/>
    <w:rsid w:val="00BE1AA6"/>
    <w:rsid w:val="00CB5984"/>
    <w:rsid w:val="00CF121C"/>
    <w:rsid w:val="00DB7DA2"/>
    <w:rsid w:val="00DE5E05"/>
    <w:rsid w:val="00E62E42"/>
    <w:rsid w:val="00EA584C"/>
    <w:rsid w:val="00EF5C2E"/>
    <w:rsid w:val="00F35810"/>
    <w:rsid w:val="00F50015"/>
    <w:rsid w:val="00F75934"/>
    <w:rsid w:val="00F81AAE"/>
    <w:rsid w:val="00F8733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Кайрат Турусбекович Ордатаев</cp:lastModifiedBy>
  <cp:revision>14</cp:revision>
  <cp:lastPrinted>2026-06-09T13:10:00Z</cp:lastPrinted>
  <dcterms:created xsi:type="dcterms:W3CDTF">2026-04-08T05:58:00Z</dcterms:created>
  <dcterms:modified xsi:type="dcterms:W3CDTF">2026-06-11T06:08:00Z</dcterms:modified>
</cp:coreProperties>
</file>